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5B7" w:rsidRPr="002B75B7" w:rsidRDefault="002B75B7" w:rsidP="002B75B7">
      <w:pPr>
        <w:jc w:val="center"/>
        <w:rPr>
          <w:rFonts w:ascii="Verdana" w:hAnsi="Verdana"/>
          <w:b/>
          <w:sz w:val="20"/>
          <w:szCs w:val="20"/>
          <w:u w:val="single"/>
        </w:rPr>
      </w:pPr>
      <w:bookmarkStart w:id="0" w:name="_GoBack"/>
      <w:bookmarkEnd w:id="0"/>
      <w:r w:rsidRPr="002B75B7">
        <w:rPr>
          <w:rFonts w:ascii="Verdana" w:hAnsi="Verdana"/>
          <w:b/>
          <w:noProof/>
          <w:sz w:val="20"/>
          <w:szCs w:val="20"/>
          <w:u w:val="single"/>
          <w:lang w:eastAsia="fr-BE"/>
        </w:rPr>
        <w:drawing>
          <wp:anchor distT="0" distB="0" distL="114300" distR="114300" simplePos="0" relativeHeight="251659264" behindDoc="1" locked="0" layoutInCell="1" allowOverlap="1">
            <wp:simplePos x="0" y="0"/>
            <wp:positionH relativeFrom="column">
              <wp:posOffset>1511935</wp:posOffset>
            </wp:positionH>
            <wp:positionV relativeFrom="paragraph">
              <wp:posOffset>-366395</wp:posOffset>
            </wp:positionV>
            <wp:extent cx="1114425" cy="847725"/>
            <wp:effectExtent l="19050" t="0" r="952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5" cstate="print"/>
                    <a:srcRect/>
                    <a:stretch>
                      <a:fillRect/>
                    </a:stretch>
                  </pic:blipFill>
                  <pic:spPr bwMode="auto">
                    <a:xfrm>
                      <a:off x="0" y="0"/>
                      <a:ext cx="1114425" cy="847725"/>
                    </a:xfrm>
                    <a:prstGeom prst="rect">
                      <a:avLst/>
                    </a:prstGeom>
                    <a:noFill/>
                    <a:ln w="9525">
                      <a:noFill/>
                      <a:miter lim="800000"/>
                      <a:headEnd/>
                      <a:tailEnd/>
                    </a:ln>
                  </pic:spPr>
                </pic:pic>
              </a:graphicData>
            </a:graphic>
          </wp:anchor>
        </w:drawing>
      </w:r>
    </w:p>
    <w:p w:rsidR="002B75B7" w:rsidRPr="002B75B7" w:rsidRDefault="002B75B7" w:rsidP="002B75B7">
      <w:pPr>
        <w:jc w:val="center"/>
        <w:rPr>
          <w:rFonts w:ascii="Verdana" w:hAnsi="Verdana"/>
          <w:b/>
          <w:sz w:val="20"/>
          <w:szCs w:val="20"/>
          <w:u w:val="single"/>
        </w:rPr>
      </w:pPr>
    </w:p>
    <w:p w:rsidR="002B75B7" w:rsidRPr="002B75B7" w:rsidRDefault="002B75B7" w:rsidP="002B75B7">
      <w:pPr>
        <w:jc w:val="center"/>
        <w:rPr>
          <w:rFonts w:ascii="Verdana" w:hAnsi="Verdana"/>
          <w:b/>
          <w:sz w:val="20"/>
          <w:szCs w:val="20"/>
          <w:u w:val="single"/>
        </w:rPr>
      </w:pPr>
      <w:r>
        <w:rPr>
          <w:rFonts w:ascii="Verdana" w:hAnsi="Verdana"/>
          <w:b/>
          <w:sz w:val="20"/>
          <w:szCs w:val="20"/>
          <w:u w:val="single"/>
        </w:rPr>
        <w:br/>
      </w:r>
      <w:r w:rsidRPr="002B75B7">
        <w:rPr>
          <w:rFonts w:ascii="Verdana" w:hAnsi="Verdana"/>
          <w:b/>
          <w:sz w:val="20"/>
          <w:szCs w:val="20"/>
          <w:u w:val="single"/>
        </w:rPr>
        <w:t>EQUIPEMENTS TOURISTIQUES</w:t>
      </w:r>
      <w:r>
        <w:rPr>
          <w:rFonts w:ascii="Verdana" w:hAnsi="Verdana"/>
          <w:b/>
          <w:sz w:val="20"/>
          <w:szCs w:val="20"/>
          <w:u w:val="single"/>
        </w:rPr>
        <w:br/>
      </w:r>
    </w:p>
    <w:p w:rsidR="002B75B7" w:rsidRPr="002B75B7" w:rsidRDefault="002B75B7" w:rsidP="002B75B7">
      <w:pPr>
        <w:rPr>
          <w:rFonts w:ascii="Verdana" w:hAnsi="Verdana"/>
          <w:sz w:val="15"/>
          <w:szCs w:val="15"/>
        </w:rPr>
      </w:pPr>
      <w:r w:rsidRPr="002B75B7">
        <w:rPr>
          <w:rFonts w:ascii="Verdana" w:hAnsi="Verdana"/>
          <w:sz w:val="15"/>
          <w:szCs w:val="15"/>
        </w:rPr>
        <w:t>(Base légale - Arrêtés royaux des 14 février 1967 et 24 septembre 1969)</w:t>
      </w:r>
    </w:p>
    <w:p w:rsidR="002B75B7" w:rsidRPr="002B75B7" w:rsidRDefault="002B75B7" w:rsidP="002B75B7">
      <w:pPr>
        <w:pStyle w:val="Paragraphedeliste"/>
        <w:numPr>
          <w:ilvl w:val="0"/>
          <w:numId w:val="2"/>
        </w:numPr>
        <w:rPr>
          <w:rFonts w:ascii="Verdana" w:hAnsi="Verdana"/>
          <w:sz w:val="15"/>
          <w:szCs w:val="15"/>
        </w:rPr>
      </w:pPr>
      <w:r w:rsidRPr="002B75B7">
        <w:rPr>
          <w:rFonts w:ascii="Verdana" w:hAnsi="Verdana"/>
          <w:sz w:val="15"/>
          <w:szCs w:val="15"/>
          <w:u w:val="single"/>
        </w:rPr>
        <w:t>Principe</w:t>
      </w:r>
      <w:r w:rsidRPr="002B75B7">
        <w:rPr>
          <w:rFonts w:ascii="Verdana" w:hAnsi="Verdana"/>
          <w:sz w:val="15"/>
          <w:szCs w:val="15"/>
        </w:rPr>
        <w:t xml:space="preserve"> (art. 1) : Dans les limites budgétaires, le Ministre qui a le tourisme dans ses attributions peut intervenir dans le financement d’</w:t>
      </w:r>
      <w:r w:rsidRPr="002B75B7">
        <w:rPr>
          <w:rFonts w:ascii="Verdana" w:hAnsi="Verdana"/>
          <w:sz w:val="15"/>
          <w:szCs w:val="15"/>
          <w:u w:val="single"/>
        </w:rPr>
        <w:t>acquisitions</w:t>
      </w:r>
      <w:r w:rsidRPr="002B75B7">
        <w:rPr>
          <w:rFonts w:ascii="Verdana" w:hAnsi="Verdana"/>
          <w:sz w:val="15"/>
          <w:szCs w:val="15"/>
        </w:rPr>
        <w:t xml:space="preserve"> et de </w:t>
      </w:r>
      <w:r w:rsidRPr="002B75B7">
        <w:rPr>
          <w:rFonts w:ascii="Verdana" w:hAnsi="Verdana"/>
          <w:sz w:val="15"/>
          <w:szCs w:val="15"/>
          <w:u w:val="single"/>
        </w:rPr>
        <w:t>travaux de construction</w:t>
      </w:r>
      <w:r w:rsidRPr="002B75B7">
        <w:rPr>
          <w:rFonts w:ascii="Verdana" w:hAnsi="Verdana"/>
          <w:sz w:val="15"/>
          <w:szCs w:val="15"/>
        </w:rPr>
        <w:t>, d’</w:t>
      </w:r>
      <w:r w:rsidRPr="002B75B7">
        <w:rPr>
          <w:rFonts w:ascii="Verdana" w:hAnsi="Verdana"/>
          <w:sz w:val="15"/>
          <w:szCs w:val="15"/>
          <w:u w:val="single"/>
        </w:rPr>
        <w:t>aménagement</w:t>
      </w:r>
      <w:r w:rsidRPr="002B75B7">
        <w:rPr>
          <w:rFonts w:ascii="Verdana" w:hAnsi="Verdana"/>
          <w:sz w:val="15"/>
          <w:szCs w:val="15"/>
        </w:rPr>
        <w:t>, d’</w:t>
      </w:r>
      <w:r w:rsidRPr="002B75B7">
        <w:rPr>
          <w:rFonts w:ascii="Verdana" w:hAnsi="Verdana"/>
          <w:sz w:val="15"/>
          <w:szCs w:val="15"/>
          <w:u w:val="single"/>
        </w:rPr>
        <w:t>agrandissement</w:t>
      </w:r>
      <w:r w:rsidRPr="002B75B7">
        <w:rPr>
          <w:rFonts w:ascii="Verdana" w:hAnsi="Verdana"/>
          <w:sz w:val="15"/>
          <w:szCs w:val="15"/>
        </w:rPr>
        <w:t xml:space="preserve"> et d’</w:t>
      </w:r>
      <w:r w:rsidRPr="002B75B7">
        <w:rPr>
          <w:rFonts w:ascii="Verdana" w:hAnsi="Verdana"/>
          <w:sz w:val="15"/>
          <w:szCs w:val="15"/>
          <w:u w:val="single"/>
        </w:rPr>
        <w:t>équipement</w:t>
      </w:r>
      <w:r w:rsidRPr="002B75B7">
        <w:rPr>
          <w:rFonts w:ascii="Verdana" w:hAnsi="Verdana"/>
          <w:sz w:val="15"/>
          <w:szCs w:val="15"/>
        </w:rPr>
        <w:t xml:space="preserve">, destinés à </w:t>
      </w:r>
      <w:r w:rsidRPr="002B75B7">
        <w:rPr>
          <w:rFonts w:ascii="Verdana" w:hAnsi="Verdana"/>
          <w:sz w:val="15"/>
          <w:szCs w:val="15"/>
          <w:u w:val="single"/>
        </w:rPr>
        <w:t>augmenter l’attrait d’une localité touristique</w:t>
      </w:r>
      <w:r w:rsidRPr="002B75B7">
        <w:rPr>
          <w:rFonts w:ascii="Verdana" w:hAnsi="Verdana"/>
          <w:sz w:val="15"/>
          <w:szCs w:val="15"/>
        </w:rPr>
        <w:t>.</w:t>
      </w:r>
      <w:r w:rsidRPr="002B75B7">
        <w:rPr>
          <w:rFonts w:ascii="Verdana" w:hAnsi="Verdana"/>
          <w:sz w:val="15"/>
          <w:szCs w:val="15"/>
        </w:rPr>
        <w:br/>
      </w:r>
      <w:r w:rsidRPr="002B75B7">
        <w:rPr>
          <w:rFonts w:ascii="Verdana" w:eastAsia="Calibri" w:hAnsi="Verdana" w:cs="Times New Roman"/>
          <w:sz w:val="15"/>
          <w:szCs w:val="15"/>
        </w:rPr>
        <w:t>Aucune intervention n’est octroyée pour le financement des acquisitions et des travaux qui peuvent être subsidiés en vertu d’autres dispositions légales</w:t>
      </w:r>
      <w:r w:rsidRPr="002B75B7">
        <w:rPr>
          <w:rFonts w:ascii="Verdana" w:hAnsi="Verdana"/>
          <w:sz w:val="15"/>
          <w:szCs w:val="15"/>
        </w:rPr>
        <w:t xml:space="preserve"> ou réglementaires, </w:t>
      </w:r>
      <w:r w:rsidRPr="002B75B7">
        <w:rPr>
          <w:rFonts w:ascii="Verdana" w:hAnsi="Verdana"/>
          <w:sz w:val="15"/>
          <w:szCs w:val="15"/>
          <w:u w:val="single"/>
        </w:rPr>
        <w:t>sauf</w:t>
      </w:r>
      <w:r w:rsidRPr="002B75B7">
        <w:rPr>
          <w:rFonts w:ascii="Verdana" w:hAnsi="Verdana"/>
          <w:sz w:val="15"/>
          <w:szCs w:val="15"/>
        </w:rPr>
        <w:t xml:space="preserve"> s'il est établi que, sans une aide financière complémentaire, ces travaux ne pourraient être réalisés.</w:t>
      </w:r>
      <w:r w:rsidRPr="002B75B7">
        <w:rPr>
          <w:rFonts w:ascii="Verdana" w:hAnsi="Verdana"/>
          <w:sz w:val="15"/>
          <w:szCs w:val="15"/>
        </w:rPr>
        <w:br/>
      </w:r>
    </w:p>
    <w:p w:rsidR="002B75B7" w:rsidRPr="002B75B7" w:rsidRDefault="002B75B7" w:rsidP="002B75B7">
      <w:pPr>
        <w:pStyle w:val="Paragraphedeliste"/>
        <w:numPr>
          <w:ilvl w:val="0"/>
          <w:numId w:val="2"/>
        </w:numPr>
        <w:rPr>
          <w:rFonts w:ascii="Verdana" w:hAnsi="Verdana"/>
          <w:sz w:val="15"/>
          <w:szCs w:val="15"/>
        </w:rPr>
      </w:pPr>
      <w:r w:rsidRPr="002B75B7">
        <w:rPr>
          <w:rFonts w:ascii="Verdana" w:hAnsi="Verdana"/>
          <w:sz w:val="15"/>
          <w:szCs w:val="15"/>
          <w:u w:val="single"/>
        </w:rPr>
        <w:t>Taux d'intervention</w:t>
      </w:r>
      <w:r w:rsidRPr="002B75B7">
        <w:rPr>
          <w:rFonts w:ascii="Verdana" w:hAnsi="Verdana"/>
          <w:sz w:val="15"/>
          <w:szCs w:val="15"/>
        </w:rPr>
        <w:t xml:space="preserve"> : le taux d'intervention est de 60 %, il peut-être porté à 80 % sur demande de dérogation argumentée déposée par le demandeur lorsque les ressources financières de l'organisme intéressé sont insuffisantes ou lorsque l'acquisition présente un caractère d'intérêt touristique général suffisant.</w:t>
      </w:r>
      <w:r w:rsidRPr="002B75B7">
        <w:rPr>
          <w:rFonts w:ascii="Verdana" w:hAnsi="Verdana"/>
          <w:sz w:val="15"/>
          <w:szCs w:val="15"/>
        </w:rPr>
        <w:br/>
        <w:t>La demande de dérogation est soumise  à l'avis de la Commission consultative pour l'équipement touristique (CCET).</w:t>
      </w:r>
      <w:r w:rsidRPr="002B75B7">
        <w:rPr>
          <w:rFonts w:ascii="Verdana" w:hAnsi="Verdana"/>
          <w:sz w:val="15"/>
          <w:szCs w:val="15"/>
        </w:rPr>
        <w:br/>
      </w:r>
    </w:p>
    <w:p w:rsidR="002B75B7" w:rsidRPr="002B75B7" w:rsidRDefault="002B75B7" w:rsidP="002B75B7">
      <w:pPr>
        <w:pStyle w:val="Paragraphedeliste"/>
        <w:numPr>
          <w:ilvl w:val="0"/>
          <w:numId w:val="1"/>
        </w:numPr>
        <w:rPr>
          <w:rFonts w:ascii="Verdana" w:hAnsi="Verdana"/>
          <w:sz w:val="15"/>
          <w:szCs w:val="15"/>
        </w:rPr>
      </w:pPr>
      <w:r w:rsidRPr="002B75B7">
        <w:rPr>
          <w:rFonts w:ascii="Verdana" w:hAnsi="Verdana"/>
          <w:sz w:val="15"/>
          <w:szCs w:val="15"/>
          <w:u w:val="single"/>
        </w:rPr>
        <w:t>Critères d'éligibilité de l'opérateur</w:t>
      </w:r>
      <w:r w:rsidRPr="002B75B7">
        <w:rPr>
          <w:rFonts w:ascii="Verdana" w:hAnsi="Verdana"/>
          <w:sz w:val="15"/>
          <w:szCs w:val="15"/>
        </w:rPr>
        <w:t xml:space="preserve"> :</w:t>
      </w:r>
    </w:p>
    <w:p w:rsidR="002B75B7" w:rsidRPr="002B75B7" w:rsidRDefault="002B75B7" w:rsidP="002B75B7">
      <w:pPr>
        <w:pStyle w:val="Paragraphedeliste"/>
        <w:ind w:left="360"/>
        <w:rPr>
          <w:rFonts w:ascii="Verdana" w:hAnsi="Verdana"/>
          <w:sz w:val="15"/>
          <w:szCs w:val="15"/>
        </w:rPr>
      </w:pPr>
    </w:p>
    <w:p w:rsidR="002B75B7" w:rsidRPr="002B75B7" w:rsidRDefault="002B75B7" w:rsidP="002B75B7">
      <w:pPr>
        <w:pStyle w:val="Paragraphedeliste"/>
        <w:numPr>
          <w:ilvl w:val="1"/>
          <w:numId w:val="1"/>
        </w:numPr>
        <w:rPr>
          <w:rFonts w:ascii="Verdana" w:hAnsi="Verdana"/>
          <w:sz w:val="15"/>
          <w:szCs w:val="15"/>
          <w:u w:val="single"/>
        </w:rPr>
      </w:pPr>
      <w:r w:rsidRPr="002B75B7">
        <w:rPr>
          <w:rFonts w:ascii="Verdana" w:hAnsi="Verdana"/>
          <w:sz w:val="15"/>
          <w:szCs w:val="15"/>
        </w:rPr>
        <w:t xml:space="preserve">Etre une ASBL reconnue par le CGT (pour être reconnue, l'ASBL doit attester de 2 ans d’activités dans le secteur du tourisme, avoir des ressources suffisantes (présentation des bilans des 2 dernières années), et attester d'une bonne gestion) </w:t>
      </w:r>
      <w:r w:rsidRPr="002B75B7">
        <w:rPr>
          <w:rFonts w:ascii="Verdana" w:hAnsi="Verdana"/>
          <w:sz w:val="15"/>
          <w:szCs w:val="15"/>
        </w:rPr>
        <w:br/>
        <w:t>Ou  une administration subordonnée (communes, province, Intercommunale).</w:t>
      </w:r>
    </w:p>
    <w:p w:rsidR="002B75B7" w:rsidRPr="002B75B7" w:rsidRDefault="002B75B7" w:rsidP="002B75B7">
      <w:pPr>
        <w:pStyle w:val="Paragraphedeliste"/>
        <w:numPr>
          <w:ilvl w:val="1"/>
          <w:numId w:val="1"/>
        </w:numPr>
        <w:rPr>
          <w:sz w:val="16"/>
          <w:szCs w:val="16"/>
        </w:rPr>
      </w:pPr>
      <w:r w:rsidRPr="002B75B7">
        <w:rPr>
          <w:rFonts w:ascii="Verdana" w:hAnsi="Verdana"/>
          <w:sz w:val="15"/>
          <w:szCs w:val="15"/>
        </w:rPr>
        <w:t>Disposer d'un titre de propriété, soit d'un bail emphytéotique, soit d'un bail de longue durée (d'un terme suffisant pour couvrir l'engagement de 15 ans de maintien d'affectation cité ci-après et la durée des actes et travaux envisagés).</w:t>
      </w:r>
    </w:p>
    <w:p w:rsidR="002B75B7" w:rsidRPr="002B75B7" w:rsidRDefault="002B75B7" w:rsidP="002B75B7">
      <w:pPr>
        <w:pStyle w:val="Paragraphedeliste"/>
        <w:numPr>
          <w:ilvl w:val="1"/>
          <w:numId w:val="1"/>
        </w:numPr>
        <w:rPr>
          <w:sz w:val="16"/>
          <w:szCs w:val="16"/>
        </w:rPr>
      </w:pPr>
      <w:r w:rsidRPr="002B75B7">
        <w:rPr>
          <w:rFonts w:ascii="Verdana" w:hAnsi="Verdana"/>
          <w:sz w:val="15"/>
          <w:szCs w:val="15"/>
        </w:rPr>
        <w:t>S'engager à garantir l'affectation touristique et l'entretien de l'objet de la demande durant 15 ans à dater du 1</w:t>
      </w:r>
      <w:r w:rsidRPr="002B75B7">
        <w:rPr>
          <w:rFonts w:ascii="Verdana" w:hAnsi="Verdana"/>
          <w:sz w:val="15"/>
          <w:szCs w:val="15"/>
          <w:vertAlign w:val="superscript"/>
        </w:rPr>
        <w:t>er</w:t>
      </w:r>
      <w:r w:rsidRPr="002B75B7">
        <w:rPr>
          <w:rFonts w:ascii="Verdana" w:hAnsi="Verdana"/>
          <w:sz w:val="15"/>
          <w:szCs w:val="15"/>
        </w:rPr>
        <w:t xml:space="preserve"> janvier suivant la dernière année durant laquelle il a bénéficié de la subvention (dernière liquidation).  Pour les ASBL, cet engagement est garanti par une hypothèque si le montant de la subvention est supérieur à 50.000 € Les frais de cette garantie (acte notarié et frais d'enregistrement) sont à charge du bénéficiaire.</w:t>
      </w:r>
      <w:r w:rsidRPr="002B75B7">
        <w:rPr>
          <w:rFonts w:ascii="Verdana" w:hAnsi="Verdana"/>
          <w:sz w:val="15"/>
          <w:szCs w:val="15"/>
        </w:rPr>
        <w:br/>
      </w:r>
      <w:r>
        <w:rPr>
          <w:sz w:val="16"/>
          <w:szCs w:val="16"/>
        </w:rPr>
        <w:lastRenderedPageBreak/>
        <w:br/>
      </w:r>
      <w:r>
        <w:rPr>
          <w:sz w:val="16"/>
          <w:szCs w:val="16"/>
        </w:rPr>
        <w:br/>
      </w:r>
      <w:r>
        <w:rPr>
          <w:sz w:val="16"/>
          <w:szCs w:val="16"/>
        </w:rPr>
        <w:br/>
      </w:r>
      <w:r>
        <w:rPr>
          <w:sz w:val="16"/>
          <w:szCs w:val="16"/>
        </w:rPr>
        <w:br/>
      </w:r>
      <w:r>
        <w:rPr>
          <w:sz w:val="16"/>
          <w:szCs w:val="16"/>
        </w:rPr>
        <w:br/>
      </w:r>
    </w:p>
    <w:p w:rsidR="002B75B7" w:rsidRPr="002B75B7" w:rsidRDefault="002B75B7" w:rsidP="002B75B7">
      <w:pPr>
        <w:pStyle w:val="Paragraphedeliste"/>
        <w:numPr>
          <w:ilvl w:val="0"/>
          <w:numId w:val="1"/>
        </w:numPr>
        <w:rPr>
          <w:rFonts w:ascii="Verdana" w:hAnsi="Verdana"/>
          <w:sz w:val="15"/>
          <w:szCs w:val="15"/>
          <w:u w:val="single"/>
        </w:rPr>
      </w:pPr>
      <w:r w:rsidRPr="002B75B7">
        <w:rPr>
          <w:rFonts w:ascii="Verdana" w:hAnsi="Verdana"/>
          <w:sz w:val="15"/>
          <w:szCs w:val="15"/>
          <w:u w:val="single"/>
        </w:rPr>
        <w:t>Critères d'éligibilité du projet</w:t>
      </w:r>
      <w:r w:rsidRPr="002B75B7">
        <w:rPr>
          <w:rFonts w:ascii="Verdana" w:hAnsi="Verdana"/>
          <w:sz w:val="15"/>
          <w:szCs w:val="15"/>
        </w:rPr>
        <w:t xml:space="preserve"> :</w:t>
      </w:r>
      <w:r w:rsidRPr="002B75B7">
        <w:rPr>
          <w:rFonts w:ascii="Verdana" w:hAnsi="Verdana"/>
          <w:sz w:val="15"/>
          <w:szCs w:val="15"/>
          <w:u w:val="single"/>
        </w:rPr>
        <w:br/>
      </w:r>
    </w:p>
    <w:p w:rsidR="002B75B7" w:rsidRPr="002B75B7" w:rsidRDefault="002B75B7" w:rsidP="002B75B7">
      <w:pPr>
        <w:pStyle w:val="Paragraphedeliste"/>
        <w:numPr>
          <w:ilvl w:val="1"/>
          <w:numId w:val="1"/>
        </w:numPr>
        <w:rPr>
          <w:rFonts w:ascii="Verdana" w:hAnsi="Verdana"/>
          <w:sz w:val="15"/>
          <w:szCs w:val="15"/>
          <w:lang w:val="fr-FR"/>
        </w:rPr>
      </w:pPr>
      <w:r w:rsidRPr="002B75B7">
        <w:rPr>
          <w:rFonts w:ascii="Verdana" w:hAnsi="Verdana"/>
          <w:sz w:val="15"/>
          <w:szCs w:val="15"/>
        </w:rPr>
        <w:t>Le projet doit augmenter l'attrait touristique de la localité ou de la région où il sera réalisé (l'opérateur déposera à cet effet un rapport détaillé permettant d'évaluer cet élément).</w:t>
      </w:r>
    </w:p>
    <w:p w:rsidR="002B75B7" w:rsidRPr="002B75B7" w:rsidRDefault="002B75B7" w:rsidP="002B75B7">
      <w:pPr>
        <w:pStyle w:val="Paragraphedeliste"/>
        <w:numPr>
          <w:ilvl w:val="1"/>
          <w:numId w:val="1"/>
        </w:numPr>
        <w:rPr>
          <w:rFonts w:ascii="Verdana" w:hAnsi="Verdana"/>
          <w:sz w:val="15"/>
          <w:szCs w:val="15"/>
          <w:u w:val="single"/>
        </w:rPr>
      </w:pPr>
      <w:r w:rsidRPr="002B75B7">
        <w:rPr>
          <w:rFonts w:ascii="Verdana" w:hAnsi="Verdana"/>
          <w:sz w:val="15"/>
          <w:szCs w:val="15"/>
        </w:rPr>
        <w:t>La demande de subvention doit-être déposée avant tous travaux et/ou acquisitions en rapport avec le projet.</w:t>
      </w:r>
      <w:r w:rsidRPr="002B75B7">
        <w:rPr>
          <w:rFonts w:ascii="Verdana" w:hAnsi="Verdana"/>
          <w:sz w:val="15"/>
          <w:szCs w:val="15"/>
          <w:lang w:val="fr-FR"/>
        </w:rPr>
        <w:t xml:space="preserve"> </w:t>
      </w:r>
    </w:p>
    <w:p w:rsidR="002B75B7" w:rsidRPr="002B75B7" w:rsidRDefault="002B75B7" w:rsidP="002B75B7">
      <w:pPr>
        <w:pStyle w:val="Paragraphedeliste"/>
        <w:numPr>
          <w:ilvl w:val="1"/>
          <w:numId w:val="1"/>
        </w:numPr>
        <w:rPr>
          <w:rFonts w:ascii="Verdana" w:hAnsi="Verdana"/>
          <w:sz w:val="15"/>
          <w:szCs w:val="15"/>
          <w:u w:val="single"/>
        </w:rPr>
      </w:pPr>
      <w:r w:rsidRPr="002B75B7">
        <w:rPr>
          <w:rFonts w:ascii="Verdana" w:hAnsi="Verdana"/>
          <w:sz w:val="15"/>
          <w:szCs w:val="15"/>
        </w:rPr>
        <w:t>L'acquisition et/ou les travaux de construction, d'aménagements, d'agrandissement et d'équipement doivent être à caractère immobilier ou  immeuble par incorporation ou destination (</w:t>
      </w:r>
      <w:r w:rsidRPr="002B75B7">
        <w:rPr>
          <w:rFonts w:ascii="Verdana" w:hAnsi="Verdana"/>
          <w:sz w:val="15"/>
          <w:szCs w:val="15"/>
          <w:lang w:val="fr-FR"/>
        </w:rPr>
        <w:t xml:space="preserve">de par leur incorporation et/ou leur caractère durable et habituel, les acquisitions sont à considérer à titre d’immeuble par destination - </w:t>
      </w:r>
      <w:proofErr w:type="spellStart"/>
      <w:r w:rsidRPr="002B75B7">
        <w:rPr>
          <w:rFonts w:ascii="Verdana" w:hAnsi="Verdana"/>
          <w:sz w:val="15"/>
          <w:szCs w:val="15"/>
          <w:lang w:val="fr-FR"/>
        </w:rPr>
        <w:t>p.e</w:t>
      </w:r>
      <w:proofErr w:type="spellEnd"/>
      <w:r w:rsidRPr="002B75B7">
        <w:rPr>
          <w:rFonts w:ascii="Verdana" w:hAnsi="Verdana"/>
          <w:sz w:val="15"/>
          <w:szCs w:val="15"/>
          <w:lang w:val="fr-FR"/>
        </w:rPr>
        <w:t>. éléments de scénographie, matériel de projection ou de diffusion d'informations touristiques, matériel d'audio-guidage, …).</w:t>
      </w:r>
      <w:r w:rsidRPr="002B75B7">
        <w:rPr>
          <w:rFonts w:ascii="Verdana" w:hAnsi="Verdana"/>
          <w:sz w:val="15"/>
          <w:szCs w:val="15"/>
          <w:lang w:val="fr-FR"/>
        </w:rPr>
        <w:br/>
      </w:r>
      <w:r w:rsidRPr="002B75B7">
        <w:rPr>
          <w:rFonts w:ascii="Verdana" w:hAnsi="Verdana"/>
          <w:sz w:val="15"/>
          <w:szCs w:val="15"/>
        </w:rPr>
        <w:t>Les "frais d'étude"  peuvent être subventionnés pour autant qu'ils soient suivis d'une réalisation effective (</w:t>
      </w:r>
      <w:r w:rsidRPr="002B75B7">
        <w:rPr>
          <w:rFonts w:ascii="Verdana" w:hAnsi="Verdana"/>
          <w:sz w:val="15"/>
          <w:szCs w:val="15"/>
        </w:rPr>
        <w:sym w:font="Wingdings" w:char="F0E0"/>
      </w:r>
      <w:r w:rsidRPr="002B75B7">
        <w:rPr>
          <w:rFonts w:ascii="Verdana" w:hAnsi="Verdana"/>
          <w:sz w:val="15"/>
          <w:szCs w:val="15"/>
        </w:rPr>
        <w:t xml:space="preserve"> pas de liquidation en cas de non réalisation du projet). Les frais d'architecte et/ ou maitrise d'ouvrage  liés à aux investissements subventionnés peuvent être retenus au prorata de ceux-ci.</w:t>
      </w:r>
    </w:p>
    <w:p w:rsidR="002B75B7" w:rsidRPr="002B75B7" w:rsidRDefault="002B75B7" w:rsidP="002B75B7">
      <w:pPr>
        <w:pStyle w:val="Paragraphedeliste"/>
        <w:numPr>
          <w:ilvl w:val="1"/>
          <w:numId w:val="1"/>
        </w:numPr>
        <w:rPr>
          <w:rFonts w:ascii="Verdana" w:hAnsi="Verdana"/>
          <w:sz w:val="15"/>
          <w:szCs w:val="15"/>
          <w:u w:val="single"/>
        </w:rPr>
      </w:pPr>
      <w:r w:rsidRPr="002B75B7">
        <w:rPr>
          <w:rFonts w:ascii="Verdana" w:hAnsi="Verdana"/>
          <w:sz w:val="15"/>
          <w:szCs w:val="15"/>
          <w:lang w:val="fr-FR"/>
        </w:rPr>
        <w:t>Les locaux ou construction doivent être accessibles au public, sont exclus :</w:t>
      </w:r>
    </w:p>
    <w:p w:rsidR="002B75B7" w:rsidRPr="002B75B7" w:rsidRDefault="002B75B7" w:rsidP="002B75B7">
      <w:pPr>
        <w:pStyle w:val="Paragraphedeliste"/>
        <w:numPr>
          <w:ilvl w:val="2"/>
          <w:numId w:val="1"/>
        </w:numPr>
        <w:rPr>
          <w:rFonts w:ascii="Verdana" w:hAnsi="Verdana"/>
          <w:sz w:val="15"/>
          <w:szCs w:val="15"/>
          <w:u w:val="single"/>
        </w:rPr>
      </w:pPr>
      <w:r w:rsidRPr="002B75B7">
        <w:rPr>
          <w:rFonts w:ascii="Verdana" w:hAnsi="Verdana"/>
          <w:sz w:val="15"/>
          <w:szCs w:val="15"/>
          <w:lang w:val="fr-FR"/>
        </w:rPr>
        <w:t xml:space="preserve"> Les bureaux, réserves, locaux techniques, caves, appartements pour gestionnaires, …).</w:t>
      </w:r>
    </w:p>
    <w:p w:rsidR="002B75B7" w:rsidRPr="002B75B7" w:rsidRDefault="002B75B7" w:rsidP="002B75B7">
      <w:pPr>
        <w:pStyle w:val="Paragraphedeliste"/>
        <w:numPr>
          <w:ilvl w:val="2"/>
          <w:numId w:val="1"/>
        </w:numPr>
        <w:rPr>
          <w:rFonts w:ascii="Verdana" w:hAnsi="Verdana"/>
          <w:sz w:val="15"/>
          <w:szCs w:val="15"/>
        </w:rPr>
      </w:pPr>
      <w:r w:rsidRPr="002B75B7">
        <w:rPr>
          <w:rFonts w:ascii="Verdana" w:hAnsi="Verdana"/>
          <w:sz w:val="15"/>
          <w:szCs w:val="15"/>
          <w:lang w:val="fr-FR"/>
        </w:rPr>
        <w:t>Les locaux et équipements à fonction commerciale (cafétéria, restaurant, boutique, …).</w:t>
      </w:r>
      <w:r w:rsidRPr="002B75B7">
        <w:rPr>
          <w:rFonts w:ascii="Verdana" w:hAnsi="Verdana"/>
          <w:sz w:val="15"/>
          <w:szCs w:val="15"/>
          <w:lang w:val="fr-FR"/>
        </w:rPr>
        <w:br/>
      </w:r>
    </w:p>
    <w:p w:rsidR="002B75B7" w:rsidRPr="002B75B7" w:rsidRDefault="002B75B7" w:rsidP="002B75B7">
      <w:pPr>
        <w:pStyle w:val="Paragraphedeliste"/>
        <w:numPr>
          <w:ilvl w:val="0"/>
          <w:numId w:val="1"/>
        </w:numPr>
        <w:rPr>
          <w:rFonts w:ascii="Verdana" w:hAnsi="Verdana"/>
          <w:sz w:val="15"/>
          <w:szCs w:val="15"/>
        </w:rPr>
      </w:pPr>
      <w:r w:rsidRPr="002B75B7">
        <w:rPr>
          <w:rFonts w:ascii="Verdana" w:hAnsi="Verdana"/>
          <w:sz w:val="15"/>
          <w:szCs w:val="15"/>
          <w:u w:val="single"/>
        </w:rPr>
        <w:t>Calcul de la subvention</w:t>
      </w:r>
      <w:r w:rsidRPr="002B75B7">
        <w:rPr>
          <w:rFonts w:ascii="Verdana" w:hAnsi="Verdana"/>
          <w:sz w:val="15"/>
          <w:szCs w:val="15"/>
        </w:rPr>
        <w:t xml:space="preserve"> : Le montant de la subvention est calculé sur base d'un devis ou avant-projet estimatif (faisant partie des pièces constitutives du dossier – art 3b).</w:t>
      </w:r>
      <w:r w:rsidRPr="002B75B7">
        <w:rPr>
          <w:rFonts w:ascii="Verdana" w:hAnsi="Verdana"/>
          <w:sz w:val="15"/>
          <w:szCs w:val="15"/>
        </w:rPr>
        <w:br/>
        <w:t>Le montant pris en compte pour l'ordonnancement ne peut dépasser le montant de l'estimation.</w:t>
      </w:r>
      <w:r w:rsidRPr="002B75B7">
        <w:rPr>
          <w:rFonts w:ascii="Verdana" w:hAnsi="Verdana"/>
          <w:sz w:val="15"/>
          <w:szCs w:val="15"/>
        </w:rPr>
        <w:br/>
        <w:t xml:space="preserve">Ce qui implique que dans l'éventualité où le coût réel serait inférieur au montant de l'estimation, la subvention sera calculée sur base des pièces justificatives déposées et déclarées éligibles. </w:t>
      </w:r>
      <w:r w:rsidRPr="002B75B7">
        <w:rPr>
          <w:rFonts w:ascii="Verdana" w:hAnsi="Verdana"/>
          <w:sz w:val="15"/>
          <w:szCs w:val="15"/>
        </w:rPr>
        <w:br/>
      </w:r>
    </w:p>
    <w:p w:rsidR="002B75B7" w:rsidRPr="002B75B7" w:rsidRDefault="002B75B7" w:rsidP="002B75B7">
      <w:pPr>
        <w:pStyle w:val="Paragraphedeliste"/>
        <w:numPr>
          <w:ilvl w:val="0"/>
          <w:numId w:val="1"/>
        </w:numPr>
        <w:rPr>
          <w:rFonts w:ascii="Verdana" w:hAnsi="Verdana"/>
          <w:sz w:val="15"/>
          <w:szCs w:val="15"/>
        </w:rPr>
      </w:pPr>
      <w:r w:rsidRPr="002B75B7">
        <w:rPr>
          <w:rFonts w:ascii="Verdana" w:hAnsi="Verdana"/>
          <w:sz w:val="15"/>
          <w:szCs w:val="15"/>
          <w:u w:val="single"/>
        </w:rPr>
        <w:t>Durée de réalisation des travaux et fournitures</w:t>
      </w:r>
      <w:r w:rsidRPr="002B75B7">
        <w:rPr>
          <w:rFonts w:ascii="Verdana" w:hAnsi="Verdana"/>
          <w:sz w:val="15"/>
          <w:szCs w:val="15"/>
        </w:rPr>
        <w:t xml:space="preserve"> : En cas d'octroi d'une subvention, les travaux et fournitures doivent être exécutés à concurrence d'au moins 20 % de la dépense totale prévue au plus tard à la fin de l'année qui suit celle de l'imputation budgétaire du subside.  La justification de l'emploi du subside doit être fournie avant l'expiration du douzième mois suivant la date de première liquidation.</w:t>
      </w:r>
      <w:r>
        <w:rPr>
          <w:rFonts w:ascii="Verdana" w:hAnsi="Verdana"/>
          <w:sz w:val="15"/>
          <w:szCs w:val="15"/>
        </w:rPr>
        <w:br/>
      </w:r>
      <w:r>
        <w:rPr>
          <w:rFonts w:ascii="Verdana" w:hAnsi="Verdana"/>
          <w:sz w:val="15"/>
          <w:szCs w:val="15"/>
        </w:rPr>
        <w:lastRenderedPageBreak/>
        <w:br/>
      </w:r>
    </w:p>
    <w:p w:rsidR="002B75B7" w:rsidRPr="002B75B7" w:rsidRDefault="002B75B7" w:rsidP="002B75B7">
      <w:pPr>
        <w:pStyle w:val="Paragraphedeliste"/>
        <w:ind w:left="360"/>
        <w:rPr>
          <w:rFonts w:ascii="Verdana" w:hAnsi="Verdana"/>
          <w:sz w:val="15"/>
          <w:szCs w:val="15"/>
        </w:rPr>
      </w:pPr>
    </w:p>
    <w:p w:rsidR="002B75B7" w:rsidRPr="002B75B7" w:rsidRDefault="002B75B7" w:rsidP="002B75B7">
      <w:pPr>
        <w:pStyle w:val="Paragraphedeliste"/>
        <w:numPr>
          <w:ilvl w:val="0"/>
          <w:numId w:val="1"/>
        </w:numPr>
        <w:rPr>
          <w:rFonts w:ascii="Verdana" w:hAnsi="Verdana"/>
          <w:sz w:val="15"/>
          <w:szCs w:val="15"/>
        </w:rPr>
      </w:pPr>
      <w:r w:rsidRPr="002B75B7">
        <w:rPr>
          <w:rFonts w:ascii="Verdana" w:hAnsi="Verdana"/>
          <w:sz w:val="15"/>
          <w:szCs w:val="15"/>
          <w:u w:val="single"/>
        </w:rPr>
        <w:t>Marchés publics</w:t>
      </w:r>
      <w:r w:rsidRPr="002B75B7">
        <w:rPr>
          <w:rFonts w:ascii="Verdana" w:hAnsi="Verdana"/>
          <w:sz w:val="15"/>
          <w:szCs w:val="15"/>
        </w:rPr>
        <w:t xml:space="preserve"> : En application de l'article 2, de la Loi du 15 juin 2006 relative aux marchés publics, sont définis à titre de Pouvoir adjudicateur : "</w:t>
      </w:r>
    </w:p>
    <w:p w:rsidR="002B75B7" w:rsidRPr="002B75B7" w:rsidRDefault="002B75B7" w:rsidP="002B75B7">
      <w:pPr>
        <w:pStyle w:val="Paragraphedeliste"/>
        <w:ind w:left="360"/>
        <w:rPr>
          <w:rFonts w:ascii="Verdana" w:hAnsi="Verdana"/>
          <w:sz w:val="15"/>
          <w:szCs w:val="15"/>
        </w:rPr>
      </w:pPr>
      <w:r w:rsidRPr="002B75B7">
        <w:rPr>
          <w:rFonts w:ascii="Verdana" w:hAnsi="Verdana"/>
          <w:sz w:val="15"/>
          <w:szCs w:val="15"/>
        </w:rPr>
        <w:t>a) l'Etat;</w:t>
      </w:r>
    </w:p>
    <w:p w:rsidR="002B75B7" w:rsidRPr="002B75B7" w:rsidRDefault="002B75B7" w:rsidP="002B75B7">
      <w:pPr>
        <w:pStyle w:val="Paragraphedeliste"/>
        <w:ind w:left="360"/>
        <w:rPr>
          <w:rFonts w:ascii="Verdana" w:hAnsi="Verdana"/>
          <w:sz w:val="15"/>
          <w:szCs w:val="15"/>
        </w:rPr>
      </w:pPr>
      <w:r w:rsidRPr="002B75B7">
        <w:rPr>
          <w:rFonts w:ascii="Verdana" w:hAnsi="Verdana"/>
          <w:sz w:val="15"/>
          <w:szCs w:val="15"/>
        </w:rPr>
        <w:t>b) les collectivités territoriales;</w:t>
      </w:r>
    </w:p>
    <w:p w:rsidR="002B75B7" w:rsidRPr="002B75B7" w:rsidRDefault="002B75B7" w:rsidP="002B75B7">
      <w:pPr>
        <w:pStyle w:val="Paragraphedeliste"/>
        <w:ind w:left="360"/>
        <w:rPr>
          <w:rFonts w:ascii="Verdana" w:hAnsi="Verdana"/>
          <w:sz w:val="15"/>
          <w:szCs w:val="15"/>
        </w:rPr>
      </w:pPr>
      <w:r w:rsidRPr="002B75B7">
        <w:rPr>
          <w:rFonts w:ascii="Verdana" w:hAnsi="Verdana"/>
          <w:sz w:val="15"/>
          <w:szCs w:val="15"/>
        </w:rPr>
        <w:t>c) les organismes de droit public;</w:t>
      </w:r>
    </w:p>
    <w:p w:rsidR="002B75B7" w:rsidRPr="002B75B7" w:rsidRDefault="002B75B7" w:rsidP="002B75B7">
      <w:pPr>
        <w:pStyle w:val="Paragraphedeliste"/>
        <w:ind w:left="360"/>
        <w:rPr>
          <w:rFonts w:ascii="Verdana" w:hAnsi="Verdana"/>
          <w:sz w:val="15"/>
          <w:szCs w:val="15"/>
        </w:rPr>
      </w:pPr>
      <w:r w:rsidRPr="002B75B7">
        <w:rPr>
          <w:rFonts w:ascii="Verdana" w:hAnsi="Verdana"/>
          <w:sz w:val="15"/>
          <w:szCs w:val="15"/>
        </w:rPr>
        <w:t>d) les personnes, quelles que soient leur forme et leur nature, qui à la date de la décision de lancer un marché :</w:t>
      </w:r>
    </w:p>
    <w:p w:rsidR="002B75B7" w:rsidRPr="002B75B7" w:rsidRDefault="002B75B7" w:rsidP="002B75B7">
      <w:pPr>
        <w:pStyle w:val="Paragraphedeliste"/>
        <w:ind w:left="360"/>
        <w:rPr>
          <w:rFonts w:ascii="Verdana" w:hAnsi="Verdana"/>
          <w:sz w:val="15"/>
          <w:szCs w:val="15"/>
        </w:rPr>
      </w:pPr>
      <w:r w:rsidRPr="002B75B7">
        <w:rPr>
          <w:rFonts w:ascii="Verdana" w:hAnsi="Verdana"/>
          <w:sz w:val="15"/>
          <w:szCs w:val="15"/>
        </w:rPr>
        <w:t xml:space="preserve"> - ont été créées pour satisfaire spécifiquement des besoins d'intérêt général ayant un caractère autre qu'industriel ou commercial, et</w:t>
      </w:r>
    </w:p>
    <w:p w:rsidR="002B75B7" w:rsidRPr="002B75B7" w:rsidRDefault="002B75B7" w:rsidP="002B75B7">
      <w:pPr>
        <w:pStyle w:val="Paragraphedeliste"/>
        <w:ind w:left="360"/>
        <w:rPr>
          <w:rFonts w:ascii="Verdana" w:hAnsi="Verdana"/>
          <w:sz w:val="15"/>
          <w:szCs w:val="15"/>
        </w:rPr>
      </w:pPr>
      <w:r w:rsidRPr="002B75B7">
        <w:rPr>
          <w:rFonts w:ascii="Verdana" w:hAnsi="Verdana"/>
          <w:sz w:val="15"/>
          <w:szCs w:val="15"/>
        </w:rPr>
        <w:t>- sont dotées d'une personnalité juridique, et</w:t>
      </w:r>
    </w:p>
    <w:p w:rsidR="002B75B7" w:rsidRPr="002B75B7" w:rsidRDefault="002B75B7" w:rsidP="002B75B7">
      <w:pPr>
        <w:pStyle w:val="Paragraphedeliste"/>
        <w:ind w:left="360"/>
        <w:rPr>
          <w:rFonts w:ascii="Verdana" w:hAnsi="Verdana"/>
          <w:sz w:val="15"/>
          <w:szCs w:val="15"/>
        </w:rPr>
      </w:pPr>
      <w:r w:rsidRPr="002B75B7">
        <w:rPr>
          <w:rFonts w:ascii="Verdana" w:hAnsi="Verdana"/>
          <w:sz w:val="15"/>
          <w:szCs w:val="15"/>
        </w:rPr>
        <w:t>Dont</w:t>
      </w:r>
    </w:p>
    <w:p w:rsidR="002B75B7" w:rsidRPr="002B75B7" w:rsidRDefault="002B75B7" w:rsidP="002B75B7">
      <w:pPr>
        <w:pStyle w:val="Paragraphedeliste"/>
        <w:numPr>
          <w:ilvl w:val="0"/>
          <w:numId w:val="3"/>
        </w:numPr>
        <w:rPr>
          <w:rFonts w:ascii="Verdana" w:hAnsi="Verdana"/>
          <w:sz w:val="15"/>
          <w:szCs w:val="15"/>
        </w:rPr>
      </w:pPr>
      <w:r w:rsidRPr="002B75B7">
        <w:rPr>
          <w:rFonts w:ascii="Verdana" w:hAnsi="Verdana"/>
          <w:sz w:val="15"/>
          <w:szCs w:val="15"/>
        </w:rPr>
        <w:t>soit l'activité est financée majoritairement par les autorités ou organismes mentionnés au 1°, a, b ou c ;</w:t>
      </w:r>
    </w:p>
    <w:p w:rsidR="002B75B7" w:rsidRPr="002B75B7" w:rsidRDefault="002B75B7" w:rsidP="002B75B7">
      <w:pPr>
        <w:pStyle w:val="Paragraphedeliste"/>
        <w:ind w:left="709" w:hanging="349"/>
        <w:rPr>
          <w:rFonts w:ascii="Verdana" w:hAnsi="Verdana"/>
          <w:sz w:val="15"/>
          <w:szCs w:val="15"/>
        </w:rPr>
      </w:pPr>
      <w:r w:rsidRPr="002B75B7">
        <w:rPr>
          <w:rFonts w:ascii="Verdana" w:hAnsi="Verdana"/>
          <w:sz w:val="15"/>
          <w:szCs w:val="15"/>
        </w:rPr>
        <w:t>-</w:t>
      </w:r>
      <w:r w:rsidRPr="002B75B7">
        <w:rPr>
          <w:rFonts w:ascii="Verdana" w:hAnsi="Verdana"/>
          <w:sz w:val="15"/>
          <w:szCs w:val="15"/>
        </w:rPr>
        <w:tab/>
        <w:t xml:space="preserve"> soit la gestion est soumise à un contrôle de ces autorités ou organismes;</w:t>
      </w:r>
    </w:p>
    <w:p w:rsidR="002B75B7" w:rsidRPr="002B75B7" w:rsidRDefault="002B75B7" w:rsidP="002B75B7">
      <w:pPr>
        <w:pStyle w:val="Paragraphedeliste"/>
        <w:ind w:left="360"/>
        <w:rPr>
          <w:rFonts w:ascii="Verdana" w:hAnsi="Verdana"/>
          <w:sz w:val="15"/>
          <w:szCs w:val="15"/>
        </w:rPr>
      </w:pPr>
      <w:r w:rsidRPr="002B75B7">
        <w:rPr>
          <w:rFonts w:ascii="Verdana" w:hAnsi="Verdana"/>
          <w:sz w:val="15"/>
          <w:szCs w:val="15"/>
        </w:rPr>
        <w:t>-     soit plus de la moitié des membres de l'organe d'administration, de direction ou de surveillance sont désignés par ces autorités ou organismes;</w:t>
      </w:r>
    </w:p>
    <w:p w:rsidR="002B75B7" w:rsidRPr="002B75B7" w:rsidRDefault="002B75B7" w:rsidP="002B75B7">
      <w:pPr>
        <w:pStyle w:val="Paragraphedeliste"/>
        <w:ind w:left="360"/>
        <w:rPr>
          <w:rFonts w:ascii="Verdana" w:hAnsi="Verdana"/>
          <w:sz w:val="15"/>
          <w:szCs w:val="15"/>
        </w:rPr>
      </w:pPr>
      <w:r w:rsidRPr="002B75B7">
        <w:rPr>
          <w:rFonts w:ascii="Verdana" w:hAnsi="Verdana"/>
          <w:sz w:val="15"/>
          <w:szCs w:val="15"/>
        </w:rPr>
        <w:t>e) les associations formées par un ou plusieurs pouvoirs adjudicateurs visés au 1°, a, b, c ou d. "</w:t>
      </w:r>
    </w:p>
    <w:p w:rsidR="002B75B7" w:rsidRPr="002B75B7" w:rsidRDefault="002B75B7" w:rsidP="002B75B7">
      <w:pPr>
        <w:pStyle w:val="Paragraphedeliste"/>
        <w:ind w:left="360"/>
        <w:rPr>
          <w:rFonts w:ascii="Verdana" w:hAnsi="Verdana"/>
          <w:sz w:val="15"/>
          <w:szCs w:val="15"/>
        </w:rPr>
      </w:pPr>
    </w:p>
    <w:p w:rsidR="002B75B7" w:rsidRPr="002B75B7" w:rsidRDefault="002B75B7" w:rsidP="002B75B7">
      <w:pPr>
        <w:pStyle w:val="Paragraphedeliste"/>
        <w:ind w:left="360"/>
        <w:rPr>
          <w:rFonts w:ascii="Verdana" w:hAnsi="Verdana"/>
          <w:sz w:val="15"/>
          <w:szCs w:val="15"/>
        </w:rPr>
      </w:pPr>
      <w:r w:rsidRPr="002B75B7">
        <w:rPr>
          <w:rFonts w:ascii="Verdana" w:hAnsi="Verdana"/>
          <w:sz w:val="15"/>
          <w:szCs w:val="15"/>
        </w:rPr>
        <w:t>L'article 8 des textes coordonnés relatifs aux équipements touristiques stipule que :</w:t>
      </w:r>
      <w:r w:rsidRPr="002B75B7">
        <w:rPr>
          <w:rFonts w:ascii="Verdana" w:hAnsi="Verdana"/>
          <w:sz w:val="15"/>
          <w:szCs w:val="15"/>
        </w:rPr>
        <w:br/>
        <w:t>"L'organisme bénéficiaire administre la preuve que les achats et travaux ont été effectués aux conditions les plus avantageuses, après appel à la concurrence."</w:t>
      </w:r>
    </w:p>
    <w:p w:rsidR="002B75B7" w:rsidRPr="002B75B7" w:rsidRDefault="002B75B7" w:rsidP="002B75B7">
      <w:pPr>
        <w:pStyle w:val="Paragraphedeliste"/>
        <w:ind w:left="360"/>
        <w:rPr>
          <w:rFonts w:ascii="Verdana" w:hAnsi="Verdana"/>
          <w:sz w:val="15"/>
          <w:szCs w:val="15"/>
        </w:rPr>
      </w:pPr>
    </w:p>
    <w:p w:rsidR="002B75B7" w:rsidRPr="002B75B7" w:rsidRDefault="002B75B7" w:rsidP="002B75B7">
      <w:pPr>
        <w:pStyle w:val="Paragraphedeliste"/>
        <w:ind w:left="360"/>
        <w:rPr>
          <w:rFonts w:ascii="Verdana" w:hAnsi="Verdana"/>
          <w:sz w:val="15"/>
          <w:szCs w:val="15"/>
        </w:rPr>
      </w:pPr>
      <w:r w:rsidRPr="002B75B7">
        <w:rPr>
          <w:rFonts w:ascii="Verdana" w:hAnsi="Verdana"/>
          <w:sz w:val="15"/>
          <w:szCs w:val="15"/>
        </w:rPr>
        <w:t>En conséquence, sauf exception l'ensemble des opérateurs bénéficiant d'une subvention en matière d'équipements touristiques sont soumis au respect de cette réglementation.</w:t>
      </w:r>
    </w:p>
    <w:p w:rsidR="002B75B7" w:rsidRPr="002B75B7" w:rsidRDefault="002B75B7" w:rsidP="002B75B7">
      <w:pPr>
        <w:pStyle w:val="Paragraphedeliste"/>
        <w:ind w:left="360"/>
        <w:rPr>
          <w:sz w:val="16"/>
          <w:szCs w:val="16"/>
        </w:rPr>
      </w:pPr>
      <w:r w:rsidRPr="002B75B7">
        <w:rPr>
          <w:rFonts w:ascii="Verdana" w:hAnsi="Verdana"/>
          <w:sz w:val="15"/>
          <w:szCs w:val="15"/>
        </w:rPr>
        <w:t>Les preuves que les dispositions de la réglementation des marchés publics de travaux, de fournitures et de services ont été respectées et notamment celles qui ont trait à l’appel à la concurrence (au minimum auprès de 3 prestataires potentiels) devront être présentées pour la liquidation de la subvention</w:t>
      </w:r>
      <w:r w:rsidRPr="002B75B7">
        <w:rPr>
          <w:sz w:val="16"/>
          <w:szCs w:val="16"/>
        </w:rPr>
        <w:t>.</w:t>
      </w:r>
    </w:p>
    <w:p w:rsidR="002B75B7" w:rsidRPr="002B75B7" w:rsidRDefault="002B75B7" w:rsidP="002B75B7">
      <w:pPr>
        <w:pStyle w:val="Paragraphedeliste"/>
        <w:ind w:left="360"/>
        <w:rPr>
          <w:sz w:val="16"/>
          <w:szCs w:val="16"/>
        </w:rPr>
      </w:pPr>
    </w:p>
    <w:p w:rsidR="002B75B7" w:rsidRPr="002B75B7" w:rsidRDefault="002B75B7" w:rsidP="002B75B7">
      <w:pPr>
        <w:pStyle w:val="Paragraphedeliste"/>
        <w:ind w:left="360"/>
        <w:rPr>
          <w:b/>
          <w:sz w:val="16"/>
          <w:szCs w:val="16"/>
          <w:u w:val="single"/>
        </w:rPr>
      </w:pPr>
      <w:r>
        <w:rPr>
          <w:b/>
          <w:sz w:val="16"/>
          <w:szCs w:val="16"/>
          <w:u w:val="single"/>
        </w:rPr>
        <w:br/>
      </w:r>
      <w:r>
        <w:rPr>
          <w:b/>
          <w:sz w:val="16"/>
          <w:szCs w:val="16"/>
          <w:u w:val="single"/>
        </w:rPr>
        <w:br/>
      </w:r>
      <w:r>
        <w:rPr>
          <w:b/>
          <w:sz w:val="16"/>
          <w:szCs w:val="16"/>
          <w:u w:val="single"/>
        </w:rPr>
        <w:br/>
      </w:r>
      <w:r>
        <w:rPr>
          <w:b/>
          <w:sz w:val="16"/>
          <w:szCs w:val="16"/>
          <w:u w:val="single"/>
        </w:rPr>
        <w:br/>
      </w:r>
      <w:r>
        <w:rPr>
          <w:b/>
          <w:sz w:val="16"/>
          <w:szCs w:val="16"/>
          <w:u w:val="single"/>
        </w:rPr>
        <w:br/>
      </w:r>
      <w:r>
        <w:rPr>
          <w:b/>
          <w:sz w:val="16"/>
          <w:szCs w:val="16"/>
          <w:u w:val="single"/>
        </w:rPr>
        <w:br/>
      </w:r>
      <w:r>
        <w:rPr>
          <w:b/>
          <w:sz w:val="16"/>
          <w:szCs w:val="16"/>
          <w:u w:val="single"/>
        </w:rPr>
        <w:br/>
      </w:r>
      <w:r>
        <w:rPr>
          <w:b/>
          <w:sz w:val="16"/>
          <w:szCs w:val="16"/>
          <w:u w:val="single"/>
        </w:rPr>
        <w:br/>
      </w:r>
      <w:r>
        <w:rPr>
          <w:b/>
          <w:sz w:val="16"/>
          <w:szCs w:val="16"/>
          <w:u w:val="single"/>
        </w:rPr>
        <w:br/>
      </w:r>
      <w:r>
        <w:rPr>
          <w:b/>
          <w:sz w:val="16"/>
          <w:szCs w:val="16"/>
          <w:u w:val="single"/>
        </w:rPr>
        <w:lastRenderedPageBreak/>
        <w:br/>
      </w:r>
      <w:r>
        <w:rPr>
          <w:b/>
          <w:sz w:val="16"/>
          <w:szCs w:val="16"/>
          <w:u w:val="single"/>
        </w:rPr>
        <w:br/>
      </w:r>
      <w:r>
        <w:rPr>
          <w:b/>
          <w:sz w:val="16"/>
          <w:szCs w:val="16"/>
          <w:u w:val="single"/>
        </w:rPr>
        <w:br/>
      </w:r>
      <w:r w:rsidRPr="002B75B7">
        <w:rPr>
          <w:b/>
          <w:sz w:val="16"/>
          <w:szCs w:val="16"/>
          <w:u w:val="single"/>
        </w:rPr>
        <w:t>Votre contact :</w:t>
      </w:r>
    </w:p>
    <w:p w:rsidR="002B75B7" w:rsidRPr="002B75B7" w:rsidRDefault="002B75B7" w:rsidP="002B75B7">
      <w:pPr>
        <w:pStyle w:val="Paragraphedeliste"/>
        <w:ind w:left="360"/>
        <w:rPr>
          <w:sz w:val="16"/>
          <w:szCs w:val="16"/>
        </w:rPr>
      </w:pPr>
    </w:p>
    <w:p w:rsidR="002B75B7" w:rsidRPr="002B75B7" w:rsidRDefault="002B75B7" w:rsidP="002B75B7">
      <w:pPr>
        <w:pStyle w:val="Paragraphedeliste"/>
        <w:ind w:left="360"/>
        <w:rPr>
          <w:sz w:val="18"/>
          <w:szCs w:val="18"/>
        </w:rPr>
      </w:pPr>
      <w:r w:rsidRPr="002B75B7">
        <w:rPr>
          <w:b/>
          <w:bCs/>
          <w:sz w:val="18"/>
          <w:szCs w:val="18"/>
        </w:rPr>
        <w:t>Direction des Attractions et des Infrastructures touristiques</w:t>
      </w:r>
    </w:p>
    <w:p w:rsidR="002B75B7" w:rsidRPr="002B75B7" w:rsidRDefault="002B75B7" w:rsidP="002B75B7">
      <w:pPr>
        <w:pStyle w:val="Paragraphedeliste"/>
        <w:ind w:left="360"/>
        <w:rPr>
          <w:sz w:val="16"/>
          <w:szCs w:val="16"/>
        </w:rPr>
      </w:pPr>
    </w:p>
    <w:p w:rsidR="002B75B7" w:rsidRPr="002B75B7" w:rsidRDefault="002B75B7" w:rsidP="002B75B7">
      <w:pPr>
        <w:pStyle w:val="Paragraphedeliste"/>
        <w:ind w:left="360"/>
        <w:rPr>
          <w:sz w:val="16"/>
          <w:szCs w:val="16"/>
        </w:rPr>
      </w:pPr>
      <w:r w:rsidRPr="002B75B7">
        <w:rPr>
          <w:sz w:val="16"/>
          <w:szCs w:val="16"/>
        </w:rPr>
        <w:t xml:space="preserve">Michel GUYOT, Ingénieur </w:t>
      </w:r>
      <w:proofErr w:type="spellStart"/>
      <w:r w:rsidRPr="002B75B7">
        <w:rPr>
          <w:sz w:val="16"/>
          <w:szCs w:val="16"/>
        </w:rPr>
        <w:t>MSc</w:t>
      </w:r>
      <w:proofErr w:type="spellEnd"/>
    </w:p>
    <w:p w:rsidR="002B75B7" w:rsidRPr="002B75B7" w:rsidRDefault="002B75B7" w:rsidP="002B75B7">
      <w:pPr>
        <w:pStyle w:val="Paragraphedeliste"/>
        <w:ind w:left="360"/>
        <w:rPr>
          <w:sz w:val="16"/>
          <w:szCs w:val="16"/>
        </w:rPr>
      </w:pPr>
      <w:r w:rsidRPr="002B75B7">
        <w:rPr>
          <w:sz w:val="16"/>
          <w:szCs w:val="16"/>
        </w:rPr>
        <w:t xml:space="preserve">Responsable de la Direction - 081 325.781 </w:t>
      </w:r>
      <w:r w:rsidRPr="002B75B7">
        <w:rPr>
          <w:sz w:val="16"/>
          <w:szCs w:val="16"/>
        </w:rPr>
        <w:br/>
      </w:r>
      <w:hyperlink r:id="rId6" w:history="1">
        <w:r w:rsidRPr="002B75B7">
          <w:rPr>
            <w:rStyle w:val="Lienhypertexte"/>
            <w:sz w:val="16"/>
            <w:szCs w:val="16"/>
          </w:rPr>
          <w:t>michel.guyot@tourismewallonie.be</w:t>
        </w:r>
      </w:hyperlink>
    </w:p>
    <w:p w:rsidR="002B75B7" w:rsidRPr="002B75B7" w:rsidRDefault="002B75B7" w:rsidP="002B75B7">
      <w:pPr>
        <w:pStyle w:val="Paragraphedeliste"/>
        <w:ind w:left="360"/>
        <w:rPr>
          <w:sz w:val="16"/>
          <w:szCs w:val="16"/>
        </w:rPr>
      </w:pPr>
      <w:r w:rsidRPr="002B75B7">
        <w:rPr>
          <w:sz w:val="16"/>
          <w:szCs w:val="16"/>
        </w:rPr>
        <w:t xml:space="preserve">Sophie TONG, Attachée -Juriste </w:t>
      </w:r>
    </w:p>
    <w:p w:rsidR="002B75B7" w:rsidRPr="002B75B7" w:rsidRDefault="002B75B7" w:rsidP="002B75B7">
      <w:pPr>
        <w:pStyle w:val="Paragraphedeliste"/>
        <w:ind w:left="360"/>
        <w:rPr>
          <w:sz w:val="16"/>
          <w:szCs w:val="16"/>
        </w:rPr>
      </w:pPr>
      <w:r w:rsidRPr="002B75B7">
        <w:rPr>
          <w:sz w:val="16"/>
          <w:szCs w:val="16"/>
        </w:rPr>
        <w:t xml:space="preserve">Engagements </w:t>
      </w:r>
      <w:proofErr w:type="spellStart"/>
      <w:r w:rsidRPr="002B75B7">
        <w:rPr>
          <w:sz w:val="16"/>
          <w:szCs w:val="16"/>
        </w:rPr>
        <w:t>Prov</w:t>
      </w:r>
      <w:proofErr w:type="spellEnd"/>
      <w:r w:rsidRPr="002B75B7">
        <w:rPr>
          <w:sz w:val="16"/>
          <w:szCs w:val="16"/>
        </w:rPr>
        <w:t>. Namur-Brabant wallon - 081 325.645</w:t>
      </w:r>
      <w:r w:rsidRPr="002B75B7">
        <w:rPr>
          <w:sz w:val="16"/>
          <w:szCs w:val="16"/>
        </w:rPr>
        <w:br/>
      </w:r>
      <w:hyperlink r:id="rId7" w:history="1">
        <w:r w:rsidRPr="002B75B7">
          <w:rPr>
            <w:rStyle w:val="Lienhypertexte"/>
            <w:sz w:val="16"/>
            <w:szCs w:val="16"/>
          </w:rPr>
          <w:t>sophie.tong@tourismewallonie.be</w:t>
        </w:r>
      </w:hyperlink>
    </w:p>
    <w:p w:rsidR="002B75B7" w:rsidRPr="002B75B7" w:rsidRDefault="002B75B7" w:rsidP="002B75B7">
      <w:pPr>
        <w:pStyle w:val="Paragraphedeliste"/>
        <w:ind w:left="360"/>
        <w:rPr>
          <w:sz w:val="16"/>
          <w:szCs w:val="16"/>
        </w:rPr>
      </w:pPr>
      <w:r w:rsidRPr="002B75B7">
        <w:rPr>
          <w:sz w:val="16"/>
          <w:szCs w:val="16"/>
        </w:rPr>
        <w:t>Bernard PERIN, Attaché</w:t>
      </w:r>
    </w:p>
    <w:p w:rsidR="002B75B7" w:rsidRPr="002B75B7" w:rsidRDefault="002B75B7" w:rsidP="002B75B7">
      <w:pPr>
        <w:pStyle w:val="Paragraphedeliste"/>
        <w:ind w:left="360"/>
        <w:rPr>
          <w:sz w:val="16"/>
          <w:szCs w:val="16"/>
        </w:rPr>
      </w:pPr>
      <w:r w:rsidRPr="002B75B7">
        <w:rPr>
          <w:sz w:val="16"/>
          <w:szCs w:val="16"/>
        </w:rPr>
        <w:t xml:space="preserve">Engagements </w:t>
      </w:r>
      <w:proofErr w:type="spellStart"/>
      <w:r w:rsidRPr="002B75B7">
        <w:rPr>
          <w:sz w:val="16"/>
          <w:szCs w:val="16"/>
        </w:rPr>
        <w:t>Prov</w:t>
      </w:r>
      <w:proofErr w:type="spellEnd"/>
      <w:r w:rsidRPr="002B75B7">
        <w:rPr>
          <w:sz w:val="16"/>
          <w:szCs w:val="16"/>
        </w:rPr>
        <w:t xml:space="preserve">. Liège-Hainaut (codes postaux commençant par 7 )- 081 325.773 </w:t>
      </w:r>
      <w:hyperlink r:id="rId8" w:history="1">
        <w:r w:rsidRPr="002B75B7">
          <w:rPr>
            <w:rStyle w:val="Lienhypertexte"/>
            <w:sz w:val="16"/>
            <w:szCs w:val="16"/>
          </w:rPr>
          <w:t>bernard.perin@tourismewallonie.be</w:t>
        </w:r>
      </w:hyperlink>
    </w:p>
    <w:p w:rsidR="002B75B7" w:rsidRPr="002B75B7" w:rsidRDefault="002B75B7" w:rsidP="002B75B7">
      <w:pPr>
        <w:pStyle w:val="Paragraphedeliste"/>
        <w:ind w:left="360"/>
        <w:rPr>
          <w:sz w:val="16"/>
          <w:szCs w:val="16"/>
        </w:rPr>
      </w:pPr>
      <w:r w:rsidRPr="002B75B7">
        <w:rPr>
          <w:sz w:val="16"/>
          <w:szCs w:val="16"/>
        </w:rPr>
        <w:t xml:space="preserve">Marc ROBINET, </w:t>
      </w:r>
      <w:r>
        <w:rPr>
          <w:sz w:val="16"/>
          <w:szCs w:val="16"/>
        </w:rPr>
        <w:t>A</w:t>
      </w:r>
      <w:r w:rsidRPr="002B75B7">
        <w:rPr>
          <w:sz w:val="16"/>
          <w:szCs w:val="16"/>
        </w:rPr>
        <w:t>ssistant principal</w:t>
      </w:r>
    </w:p>
    <w:p w:rsidR="002B75B7" w:rsidRPr="002B75B7" w:rsidRDefault="002B75B7" w:rsidP="002B75B7">
      <w:pPr>
        <w:pStyle w:val="Paragraphedeliste"/>
        <w:ind w:left="360"/>
        <w:rPr>
          <w:sz w:val="16"/>
          <w:szCs w:val="16"/>
        </w:rPr>
      </w:pPr>
      <w:r w:rsidRPr="002B75B7">
        <w:rPr>
          <w:sz w:val="16"/>
          <w:szCs w:val="16"/>
        </w:rPr>
        <w:t xml:space="preserve">Engagements - </w:t>
      </w:r>
      <w:proofErr w:type="spellStart"/>
      <w:r w:rsidRPr="002B75B7">
        <w:rPr>
          <w:sz w:val="16"/>
          <w:szCs w:val="16"/>
        </w:rPr>
        <w:t>Prov</w:t>
      </w:r>
      <w:proofErr w:type="spellEnd"/>
      <w:r w:rsidRPr="002B75B7">
        <w:rPr>
          <w:sz w:val="16"/>
          <w:szCs w:val="16"/>
        </w:rPr>
        <w:t xml:space="preserve">. du Luxembourg - Hainaut (codes postaux commençant par 6) - 081 325.782 </w:t>
      </w:r>
      <w:hyperlink r:id="rId9" w:history="1">
        <w:r w:rsidRPr="002B75B7">
          <w:rPr>
            <w:rStyle w:val="Lienhypertexte"/>
            <w:sz w:val="16"/>
            <w:szCs w:val="16"/>
          </w:rPr>
          <w:t>marc.robinet@tourismewallonie.be</w:t>
        </w:r>
      </w:hyperlink>
    </w:p>
    <w:p w:rsidR="002B75B7" w:rsidRPr="002B75B7" w:rsidRDefault="002B75B7" w:rsidP="002B75B7">
      <w:pPr>
        <w:pStyle w:val="Paragraphedeliste"/>
        <w:ind w:left="360"/>
        <w:rPr>
          <w:sz w:val="16"/>
          <w:szCs w:val="16"/>
        </w:rPr>
      </w:pPr>
    </w:p>
    <w:p w:rsidR="00B93BB1" w:rsidRPr="002B75B7" w:rsidRDefault="00B93BB1">
      <w:pPr>
        <w:rPr>
          <w:sz w:val="16"/>
          <w:szCs w:val="16"/>
        </w:rPr>
      </w:pPr>
    </w:p>
    <w:sectPr w:rsidR="00B93BB1" w:rsidRPr="002B75B7" w:rsidSect="002B75B7">
      <w:pgSz w:w="16838" w:h="11906" w:orient="landscape"/>
      <w:pgMar w:top="1417" w:right="1134" w:bottom="1417" w:left="709" w:header="708" w:footer="273"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331C0D"/>
    <w:multiLevelType w:val="hybridMultilevel"/>
    <w:tmpl w:val="10F879F8"/>
    <w:lvl w:ilvl="0" w:tplc="0038A302">
      <w:numFmt w:val="bullet"/>
      <w:lvlText w:val="-"/>
      <w:lvlJc w:val="left"/>
      <w:pPr>
        <w:ind w:left="750" w:hanging="360"/>
      </w:pPr>
      <w:rPr>
        <w:rFonts w:ascii="Calibri" w:eastAsiaTheme="minorHAnsi" w:hAnsi="Calibri" w:cstheme="minorBidi" w:hint="default"/>
      </w:rPr>
    </w:lvl>
    <w:lvl w:ilvl="1" w:tplc="080C0003" w:tentative="1">
      <w:start w:val="1"/>
      <w:numFmt w:val="bullet"/>
      <w:lvlText w:val="o"/>
      <w:lvlJc w:val="left"/>
      <w:pPr>
        <w:ind w:left="1470" w:hanging="360"/>
      </w:pPr>
      <w:rPr>
        <w:rFonts w:ascii="Courier New" w:hAnsi="Courier New" w:cs="Courier New" w:hint="default"/>
      </w:rPr>
    </w:lvl>
    <w:lvl w:ilvl="2" w:tplc="080C0005" w:tentative="1">
      <w:start w:val="1"/>
      <w:numFmt w:val="bullet"/>
      <w:lvlText w:val=""/>
      <w:lvlJc w:val="left"/>
      <w:pPr>
        <w:ind w:left="2190" w:hanging="360"/>
      </w:pPr>
      <w:rPr>
        <w:rFonts w:ascii="Wingdings" w:hAnsi="Wingdings" w:hint="default"/>
      </w:rPr>
    </w:lvl>
    <w:lvl w:ilvl="3" w:tplc="080C0001" w:tentative="1">
      <w:start w:val="1"/>
      <w:numFmt w:val="bullet"/>
      <w:lvlText w:val=""/>
      <w:lvlJc w:val="left"/>
      <w:pPr>
        <w:ind w:left="2910" w:hanging="360"/>
      </w:pPr>
      <w:rPr>
        <w:rFonts w:ascii="Symbol" w:hAnsi="Symbol" w:hint="default"/>
      </w:rPr>
    </w:lvl>
    <w:lvl w:ilvl="4" w:tplc="080C0003" w:tentative="1">
      <w:start w:val="1"/>
      <w:numFmt w:val="bullet"/>
      <w:lvlText w:val="o"/>
      <w:lvlJc w:val="left"/>
      <w:pPr>
        <w:ind w:left="3630" w:hanging="360"/>
      </w:pPr>
      <w:rPr>
        <w:rFonts w:ascii="Courier New" w:hAnsi="Courier New" w:cs="Courier New" w:hint="default"/>
      </w:rPr>
    </w:lvl>
    <w:lvl w:ilvl="5" w:tplc="080C0005" w:tentative="1">
      <w:start w:val="1"/>
      <w:numFmt w:val="bullet"/>
      <w:lvlText w:val=""/>
      <w:lvlJc w:val="left"/>
      <w:pPr>
        <w:ind w:left="4350" w:hanging="360"/>
      </w:pPr>
      <w:rPr>
        <w:rFonts w:ascii="Wingdings" w:hAnsi="Wingdings" w:hint="default"/>
      </w:rPr>
    </w:lvl>
    <w:lvl w:ilvl="6" w:tplc="080C0001" w:tentative="1">
      <w:start w:val="1"/>
      <w:numFmt w:val="bullet"/>
      <w:lvlText w:val=""/>
      <w:lvlJc w:val="left"/>
      <w:pPr>
        <w:ind w:left="5070" w:hanging="360"/>
      </w:pPr>
      <w:rPr>
        <w:rFonts w:ascii="Symbol" w:hAnsi="Symbol" w:hint="default"/>
      </w:rPr>
    </w:lvl>
    <w:lvl w:ilvl="7" w:tplc="080C0003" w:tentative="1">
      <w:start w:val="1"/>
      <w:numFmt w:val="bullet"/>
      <w:lvlText w:val="o"/>
      <w:lvlJc w:val="left"/>
      <w:pPr>
        <w:ind w:left="5790" w:hanging="360"/>
      </w:pPr>
      <w:rPr>
        <w:rFonts w:ascii="Courier New" w:hAnsi="Courier New" w:cs="Courier New" w:hint="default"/>
      </w:rPr>
    </w:lvl>
    <w:lvl w:ilvl="8" w:tplc="080C0005" w:tentative="1">
      <w:start w:val="1"/>
      <w:numFmt w:val="bullet"/>
      <w:lvlText w:val=""/>
      <w:lvlJc w:val="left"/>
      <w:pPr>
        <w:ind w:left="6510" w:hanging="360"/>
      </w:pPr>
      <w:rPr>
        <w:rFonts w:ascii="Wingdings" w:hAnsi="Wingdings" w:hint="default"/>
      </w:rPr>
    </w:lvl>
  </w:abstractNum>
  <w:abstractNum w:abstractNumId="1" w15:restartNumberingAfterBreak="0">
    <w:nsid w:val="44A0622C"/>
    <w:multiLevelType w:val="multilevel"/>
    <w:tmpl w:val="6E983F0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8524464"/>
    <w:multiLevelType w:val="multilevel"/>
    <w:tmpl w:val="FDDC7DD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5B7"/>
    <w:rsid w:val="00065A47"/>
    <w:rsid w:val="002A1022"/>
    <w:rsid w:val="002B75B7"/>
    <w:rsid w:val="0033508F"/>
    <w:rsid w:val="003737F5"/>
    <w:rsid w:val="00461995"/>
    <w:rsid w:val="0048294A"/>
    <w:rsid w:val="004E23F8"/>
    <w:rsid w:val="00515547"/>
    <w:rsid w:val="005A4112"/>
    <w:rsid w:val="005D16F4"/>
    <w:rsid w:val="00683B8A"/>
    <w:rsid w:val="00725F45"/>
    <w:rsid w:val="007C0397"/>
    <w:rsid w:val="008B6FF1"/>
    <w:rsid w:val="008D3B9B"/>
    <w:rsid w:val="009F18D6"/>
    <w:rsid w:val="00AD206C"/>
    <w:rsid w:val="00B93BB1"/>
    <w:rsid w:val="00BC79CF"/>
    <w:rsid w:val="00C4199F"/>
    <w:rsid w:val="00CA2DC1"/>
    <w:rsid w:val="00CC18D2"/>
    <w:rsid w:val="00D25A89"/>
    <w:rsid w:val="00D72C13"/>
    <w:rsid w:val="00E11DE8"/>
    <w:rsid w:val="00FF2A8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368DEF-2552-4E89-AF33-1F39B8BFD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fr-B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75B7"/>
    <w:pPr>
      <w:spacing w:after="200" w:line="276" w:lineRule="auto"/>
    </w:pPr>
    <w:rPr>
      <w:rFonts w:asciiTheme="minorHAnsi" w:hAnsiTheme="minorHAns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B75B7"/>
    <w:pPr>
      <w:ind w:left="720"/>
      <w:contextualSpacing/>
    </w:pPr>
  </w:style>
  <w:style w:type="character" w:styleId="Lienhypertexte">
    <w:name w:val="Hyperlink"/>
    <w:basedOn w:val="Policepardfaut"/>
    <w:uiPriority w:val="99"/>
    <w:unhideWhenUsed/>
    <w:rsid w:val="002B75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ernard.perin@tourismewallonie.be" TargetMode="External"/><Relationship Id="rId3" Type="http://schemas.openxmlformats.org/officeDocument/2006/relationships/settings" Target="settings.xml"/><Relationship Id="rId7" Type="http://schemas.openxmlformats.org/officeDocument/2006/relationships/hyperlink" Target="mailto:sophie.tong@tourismewallonie.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chel.guyot@tourismewallonie.be"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arc.robinet@tourismewallonie.b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1061</Words>
  <Characters>5838</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marc.robinet</dc:creator>
  <cp:lastModifiedBy>Catherine LANGUE</cp:lastModifiedBy>
  <cp:revision>2</cp:revision>
  <dcterms:created xsi:type="dcterms:W3CDTF">2018-05-02T13:16:00Z</dcterms:created>
  <dcterms:modified xsi:type="dcterms:W3CDTF">2018-05-02T13:16:00Z</dcterms:modified>
</cp:coreProperties>
</file>